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528E" w14:textId="363B8DEF" w:rsidR="002212AB" w:rsidRPr="002212AB" w:rsidRDefault="002212AB" w:rsidP="002212AB">
      <w:pPr>
        <w:spacing w:line="360" w:lineRule="atLeast"/>
        <w:jc w:val="center"/>
        <w:rPr>
          <w:rFonts w:ascii="firasans" w:hAnsi="firasans"/>
          <w:color w:val="333333"/>
          <w:sz w:val="52"/>
          <w:szCs w:val="52"/>
        </w:rPr>
      </w:pPr>
      <w:r w:rsidRPr="002212AB">
        <w:rPr>
          <w:rFonts w:ascii="firasans" w:hAnsi="firasans"/>
          <w:color w:val="333333"/>
          <w:sz w:val="52"/>
          <w:szCs w:val="52"/>
        </w:rPr>
        <w:t>Index égalité femmes/hommes 202</w:t>
      </w:r>
      <w:r w:rsidR="009C0867">
        <w:rPr>
          <w:rFonts w:ascii="firasans" w:hAnsi="firasans"/>
          <w:color w:val="333333"/>
          <w:sz w:val="52"/>
          <w:szCs w:val="52"/>
        </w:rPr>
        <w:t>5</w:t>
      </w:r>
      <w:r w:rsidRPr="002212AB">
        <w:rPr>
          <w:rFonts w:ascii="firasans" w:hAnsi="firasans"/>
          <w:color w:val="333333"/>
          <w:sz w:val="52"/>
          <w:szCs w:val="52"/>
        </w:rPr>
        <w:t xml:space="preserve"> : </w:t>
      </w:r>
    </w:p>
    <w:p w14:paraId="1AADF831" w14:textId="77777777" w:rsidR="002212AB" w:rsidRDefault="002212AB" w:rsidP="002212AB">
      <w:pPr>
        <w:spacing w:line="360" w:lineRule="atLeast"/>
        <w:jc w:val="center"/>
        <w:rPr>
          <w:rFonts w:ascii="firasans" w:hAnsi="firasans"/>
          <w:color w:val="8EAADB" w:themeColor="accent1" w:themeTint="99"/>
          <w:sz w:val="52"/>
          <w:szCs w:val="52"/>
        </w:rPr>
      </w:pPr>
    </w:p>
    <w:p w14:paraId="2004FA7F" w14:textId="31919A60" w:rsidR="002212AB" w:rsidRPr="002212AB" w:rsidRDefault="002212AB" w:rsidP="002212AB">
      <w:pPr>
        <w:spacing w:line="360" w:lineRule="atLeast"/>
        <w:jc w:val="center"/>
        <w:rPr>
          <w:rFonts w:ascii="&amp;quot" w:eastAsia="Times New Roman" w:hAnsi="&amp;quot" w:cs="Times New Roman"/>
          <w:b/>
          <w:bCs/>
          <w:color w:val="8EAADB" w:themeColor="accent1" w:themeTint="99"/>
          <w:sz w:val="52"/>
          <w:szCs w:val="52"/>
          <w:lang w:eastAsia="fr-FR"/>
        </w:rPr>
      </w:pPr>
      <w:r w:rsidRPr="002212AB">
        <w:rPr>
          <w:rFonts w:ascii="firasans" w:hAnsi="firasans"/>
          <w:color w:val="8EAADB" w:themeColor="accent1" w:themeTint="99"/>
          <w:sz w:val="52"/>
          <w:szCs w:val="52"/>
        </w:rPr>
        <w:t xml:space="preserve">L’association « ENSEMBLE » obtient </w:t>
      </w:r>
      <w:r w:rsidR="008C6B9E">
        <w:rPr>
          <w:rFonts w:ascii="firasans" w:hAnsi="firasans"/>
          <w:color w:val="8EAADB" w:themeColor="accent1" w:themeTint="99"/>
          <w:sz w:val="52"/>
          <w:szCs w:val="52"/>
        </w:rPr>
        <w:t>95</w:t>
      </w:r>
      <w:r w:rsidRPr="002212AB">
        <w:rPr>
          <w:rFonts w:ascii="firasans" w:hAnsi="firasans"/>
          <w:color w:val="8EAADB" w:themeColor="accent1" w:themeTint="99"/>
          <w:sz w:val="52"/>
          <w:szCs w:val="52"/>
        </w:rPr>
        <w:t>/100</w:t>
      </w:r>
    </w:p>
    <w:p w14:paraId="06A77B02" w14:textId="77777777" w:rsidR="002212AB" w:rsidRDefault="002212AB" w:rsidP="002212AB">
      <w:pPr>
        <w:spacing w:line="360" w:lineRule="atLeast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</w:pPr>
    </w:p>
    <w:p w14:paraId="6BE8FE61" w14:textId="1ACA7E9A" w:rsidR="002212AB" w:rsidRDefault="002212AB" w:rsidP="002212AB">
      <w:pPr>
        <w:spacing w:line="360" w:lineRule="atLeast"/>
        <w:ind w:firstLine="708"/>
        <w:jc w:val="both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</w:pPr>
      <w:r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L</w:t>
      </w:r>
      <w:r w:rsidRPr="002212AB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’index de l’égalité professionnelle entre les femmes et les hommes, institué par la loi Pour la liberté de choisir son avenir professionnel de 2018, a été conçu pour mesurer les écarts de rémunération entre les sexes et mettre fin aux inégalités.</w:t>
      </w:r>
    </w:p>
    <w:p w14:paraId="65678B9F" w14:textId="77777777" w:rsidR="002212AB" w:rsidRPr="002212AB" w:rsidRDefault="002212AB" w:rsidP="002212AB">
      <w:pPr>
        <w:spacing w:line="360" w:lineRule="atLeast"/>
        <w:jc w:val="both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</w:pPr>
    </w:p>
    <w:p w14:paraId="6473B464" w14:textId="50643D02" w:rsidR="002212AB" w:rsidRDefault="002212AB" w:rsidP="002212AB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</w:pPr>
      <w:r w:rsidRPr="002212AB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 xml:space="preserve">Il permet aux entreprises de mesurer, en toute transparence, les écarts de rémunération entre les sexes et de mettre en évidence leurs points de progression. </w:t>
      </w:r>
      <w:r w:rsidRPr="002212AB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Si des disparités salariales sont constatées, des mesures de correction doivent être prises lorsque la note obtenue est inférieure à 75 points.</w:t>
      </w:r>
    </w:p>
    <w:p w14:paraId="3085654C" w14:textId="77777777" w:rsidR="002212AB" w:rsidRPr="002212AB" w:rsidRDefault="002212AB" w:rsidP="002212AB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</w:pPr>
    </w:p>
    <w:p w14:paraId="45DC50CC" w14:textId="73F921C8" w:rsidR="002212AB" w:rsidRPr="002212AB" w:rsidRDefault="00E63501" w:rsidP="002212AB">
      <w:pPr>
        <w:spacing w:after="150" w:line="360" w:lineRule="atLeast"/>
        <w:ind w:firstLine="360"/>
        <w:jc w:val="both"/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</w:pPr>
      <w:r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 xml:space="preserve"> </w:t>
      </w:r>
      <w:r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ab/>
      </w:r>
      <w:r w:rsidR="002212AB" w:rsidRPr="002212AB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>Pour l’année 202</w:t>
      </w:r>
      <w:r w:rsidR="009C0867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>5</w:t>
      </w:r>
      <w:r w:rsidR="002212AB" w:rsidRPr="002212AB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 xml:space="preserve">, l’index de </w:t>
      </w:r>
      <w:r w:rsidR="002212AB" w:rsidRPr="00E63501">
        <w:rPr>
          <w:rFonts w:ascii="&amp;quot" w:eastAsia="Times New Roman" w:hAnsi="&amp;quot" w:cs="Times New Roman"/>
          <w:color w:val="333333"/>
          <w:sz w:val="24"/>
          <w:szCs w:val="24"/>
          <w:u w:val="single"/>
          <w:lang w:eastAsia="fr-FR"/>
        </w:rPr>
        <w:t>l’Association « ENSEMBLE »</w:t>
      </w:r>
      <w:r w:rsidR="002212AB" w:rsidRPr="002212AB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 xml:space="preserve"> atteint </w:t>
      </w:r>
      <w:r w:rsidR="008C6B9E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95</w:t>
      </w:r>
      <w:r w:rsidR="002212AB" w:rsidRPr="002212AB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/100</w:t>
      </w:r>
      <w:r w:rsidR="002212AB" w:rsidRPr="002212AB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 xml:space="preserve"> points. Le score est ainsi décliné comme suit :</w:t>
      </w:r>
    </w:p>
    <w:p w14:paraId="30146E3D" w14:textId="726A0F15" w:rsidR="002212AB" w:rsidRPr="002212AB" w:rsidRDefault="002212AB" w:rsidP="00221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</w:pPr>
      <w:r w:rsidRPr="002212AB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 xml:space="preserve">Indicateur écart de rémunérations : </w:t>
      </w:r>
      <w:r w:rsidR="00837BC3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3.</w:t>
      </w:r>
      <w:r w:rsidR="009C086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2</w:t>
      </w:r>
      <w:r w:rsidR="00FD098B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%</w:t>
      </w:r>
      <w:r w:rsidR="005F0180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 xml:space="preserve"> </w:t>
      </w:r>
      <w:bookmarkStart w:id="0" w:name="_Hlk161132002"/>
      <w:r w:rsidR="005F0180" w:rsidRPr="005F0180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>(en faveur des hommes)</w:t>
      </w:r>
    </w:p>
    <w:bookmarkEnd w:id="0"/>
    <w:p w14:paraId="1AD5E29E" w14:textId="2637B3DA" w:rsidR="002212AB" w:rsidRPr="005F0180" w:rsidRDefault="002212AB" w:rsidP="005F0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</w:pPr>
      <w:r w:rsidRPr="002212AB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 xml:space="preserve">Indicateur écart de taux d’augmentations individuelles </w:t>
      </w:r>
      <w:r w:rsidRPr="002212AB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 xml:space="preserve">: </w:t>
      </w:r>
      <w:r w:rsidR="00837BC3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1.</w:t>
      </w:r>
      <w:r w:rsidR="009C086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6</w:t>
      </w:r>
      <w:r w:rsidR="00DA0709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%</w:t>
      </w:r>
      <w:r w:rsidR="005F0180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 xml:space="preserve"> </w:t>
      </w:r>
      <w:r w:rsidR="005F0180" w:rsidRPr="005F0180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>(en faveur des hommes)</w:t>
      </w:r>
    </w:p>
    <w:p w14:paraId="1A6393AE" w14:textId="30D9402C" w:rsidR="002212AB" w:rsidRPr="002212AB" w:rsidRDefault="002212AB" w:rsidP="00221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</w:pPr>
      <w:r w:rsidRPr="002212AB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 xml:space="preserve">Indicateur retour de congés maternité : </w:t>
      </w:r>
      <w:r w:rsidR="00837BC3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incalculable</w:t>
      </w:r>
    </w:p>
    <w:p w14:paraId="79252A3D" w14:textId="0C63ADDD" w:rsidR="002212AB" w:rsidRPr="005F0180" w:rsidRDefault="002212AB" w:rsidP="00221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</w:pPr>
      <w:r w:rsidRPr="002212AB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 xml:space="preserve">Indicateur hautes rémunérations : </w:t>
      </w:r>
      <w:r w:rsidR="00837BC3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>4</w:t>
      </w:r>
      <w:r w:rsidR="005F0180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fr-FR"/>
        </w:rPr>
        <w:t xml:space="preserve"> </w:t>
      </w:r>
      <w:r w:rsidR="005F0180" w:rsidRPr="005F0180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 xml:space="preserve">(les hommes </w:t>
      </w:r>
      <w:r w:rsidR="00837BC3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>sont sous représentés parmi les salariés les mieux rémunérés</w:t>
      </w:r>
      <w:r w:rsidR="005F0180" w:rsidRPr="005F0180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>)</w:t>
      </w:r>
    </w:p>
    <w:p w14:paraId="21D2508F" w14:textId="0B42AC6B" w:rsidR="002212AB" w:rsidRPr="002212AB" w:rsidRDefault="002212AB" w:rsidP="00E63501">
      <w:pPr>
        <w:spacing w:after="150" w:line="360" w:lineRule="atLeast"/>
        <w:ind w:firstLine="708"/>
        <w:jc w:val="both"/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</w:pPr>
      <w:r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>L’association</w:t>
      </w:r>
      <w:r w:rsidRPr="002212AB">
        <w:rPr>
          <w:rFonts w:ascii="&amp;quot" w:eastAsia="Times New Roman" w:hAnsi="&amp;quot" w:cs="Times New Roman"/>
          <w:color w:val="333333"/>
          <w:sz w:val="24"/>
          <w:szCs w:val="24"/>
          <w:lang w:eastAsia="fr-FR"/>
        </w:rPr>
        <w:t xml:space="preserve"> soutient la démarche du Gouvernement visant à promouvoir l’égalité femmes-hommes au sein de l’entreprise. Notre organisation professionnelle reste déterminée à poursuivre sa démarche d’amélioration continue et sa concertation avec ses partenaires sociaux dans l’optique d’atteindre le score de 100/100.</w:t>
      </w:r>
    </w:p>
    <w:p w14:paraId="46ABDA00" w14:textId="77777777" w:rsidR="00134F26" w:rsidRDefault="009C0867"/>
    <w:sectPr w:rsidR="00134F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41F9" w14:textId="77777777" w:rsidR="00D77086" w:rsidRDefault="00D77086" w:rsidP="00D77086">
      <w:pPr>
        <w:spacing w:after="0" w:line="240" w:lineRule="auto"/>
      </w:pPr>
      <w:r>
        <w:separator/>
      </w:r>
    </w:p>
  </w:endnote>
  <w:endnote w:type="continuationSeparator" w:id="0">
    <w:p w14:paraId="56B1A003" w14:textId="77777777" w:rsidR="00D77086" w:rsidRDefault="00D77086" w:rsidP="00D7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sans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C39E" w14:textId="77777777" w:rsidR="00C46E04" w:rsidRPr="00C46E04" w:rsidRDefault="00C46E04" w:rsidP="00C46E0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fr-FR"/>
      </w:rPr>
    </w:pPr>
    <w:r w:rsidRPr="00C46E04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Association </w:t>
    </w:r>
    <w:r w:rsidRPr="00C46E04">
      <w:rPr>
        <w:rFonts w:ascii="Times New Roman" w:eastAsia="Times New Roman" w:hAnsi="Times New Roman" w:cs="Times New Roman"/>
        <w:b/>
        <w:i/>
        <w:sz w:val="20"/>
        <w:szCs w:val="20"/>
        <w:lang w:eastAsia="fr-FR"/>
      </w:rPr>
      <w:t>« ENSEMBLE »</w:t>
    </w:r>
  </w:p>
  <w:p w14:paraId="488F4B95" w14:textId="77777777" w:rsidR="00C46E04" w:rsidRPr="00C46E04" w:rsidRDefault="00C46E04" w:rsidP="00C46E0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eastAsia="fr-FR"/>
      </w:rPr>
    </w:pPr>
    <w:r w:rsidRPr="00C46E04">
      <w:rPr>
        <w:rFonts w:ascii="Times New Roman" w:eastAsia="Times New Roman" w:hAnsi="Times New Roman" w:cs="Times New Roman"/>
        <w:sz w:val="16"/>
        <w:szCs w:val="20"/>
        <w:lang w:eastAsia="fr-FR"/>
      </w:rPr>
      <w:t xml:space="preserve">Accompagnement – Citoyenneté – Education – Soin </w:t>
    </w:r>
  </w:p>
  <w:p w14:paraId="3C535C09" w14:textId="77777777" w:rsidR="00C46E04" w:rsidRPr="00C46E04" w:rsidRDefault="00C46E04" w:rsidP="00C46E0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eastAsia="fr-FR"/>
      </w:rPr>
    </w:pPr>
    <w:r w:rsidRPr="00C46E04">
      <w:rPr>
        <w:rFonts w:ascii="Times New Roman" w:eastAsia="Times New Roman" w:hAnsi="Times New Roman" w:cs="Times New Roman"/>
        <w:i/>
        <w:sz w:val="16"/>
        <w:szCs w:val="20"/>
        <w:lang w:eastAsia="fr-FR"/>
      </w:rPr>
      <w:t xml:space="preserve">En faveur des personnes handicapées et fragilisées </w:t>
    </w:r>
    <w:r w:rsidRPr="00C46E04">
      <w:rPr>
        <w:rFonts w:ascii="Times New Roman" w:eastAsia="Times New Roman" w:hAnsi="Times New Roman" w:cs="Times New Roman"/>
        <w:sz w:val="16"/>
        <w:szCs w:val="20"/>
        <w:lang w:eastAsia="fr-FR"/>
      </w:rPr>
      <w:t xml:space="preserve"> </w:t>
    </w:r>
  </w:p>
  <w:p w14:paraId="2FD8C3C2" w14:textId="77777777" w:rsidR="00C46E04" w:rsidRPr="00C46E04" w:rsidRDefault="00C46E04" w:rsidP="00C46E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sz w:val="16"/>
        <w:szCs w:val="16"/>
        <w:lang w:eastAsia="fr-FR"/>
      </w:rPr>
    </w:pPr>
  </w:p>
  <w:p w14:paraId="6D3879D1" w14:textId="43D72566" w:rsidR="00D77086" w:rsidRDefault="00D77086" w:rsidP="00C46E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sz w:val="16"/>
        <w:szCs w:val="16"/>
        <w:lang w:eastAsia="fr-FR"/>
      </w:rPr>
    </w:pPr>
    <w:r w:rsidRPr="00C46E04">
      <w:rPr>
        <w:rFonts w:ascii="Times New Roman" w:eastAsia="Times New Roman" w:hAnsi="Times New Roman" w:cs="Times New Roman"/>
        <w:i/>
        <w:sz w:val="16"/>
        <w:szCs w:val="16"/>
        <w:lang w:eastAsia="fr-FR"/>
      </w:rPr>
      <w:t>Référence de document : AffichageIME014.2022.02version</w:t>
    </w:r>
    <w:r w:rsidR="00EF6AA8">
      <w:rPr>
        <w:rFonts w:ascii="Times New Roman" w:eastAsia="Times New Roman" w:hAnsi="Times New Roman" w:cs="Times New Roman"/>
        <w:i/>
        <w:sz w:val="16"/>
        <w:szCs w:val="16"/>
        <w:lang w:eastAsia="fr-FR"/>
      </w:rPr>
      <w:t>4</w:t>
    </w:r>
  </w:p>
  <w:p w14:paraId="2FC295FE" w14:textId="77777777" w:rsidR="00EF6AA8" w:rsidRPr="00C46E04" w:rsidRDefault="00EF6AA8" w:rsidP="00C46E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sz w:val="16"/>
        <w:szCs w:val="16"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F967" w14:textId="77777777" w:rsidR="00D77086" w:rsidRDefault="00D77086" w:rsidP="00D77086">
      <w:pPr>
        <w:spacing w:after="0" w:line="240" w:lineRule="auto"/>
      </w:pPr>
      <w:r>
        <w:separator/>
      </w:r>
    </w:p>
  </w:footnote>
  <w:footnote w:type="continuationSeparator" w:id="0">
    <w:p w14:paraId="27044553" w14:textId="77777777" w:rsidR="00D77086" w:rsidRDefault="00D77086" w:rsidP="00D77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3055"/>
    <w:multiLevelType w:val="multilevel"/>
    <w:tmpl w:val="CCD2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AB"/>
    <w:rsid w:val="000326E9"/>
    <w:rsid w:val="00055008"/>
    <w:rsid w:val="002212AB"/>
    <w:rsid w:val="004E6B47"/>
    <w:rsid w:val="005F0180"/>
    <w:rsid w:val="00837BC3"/>
    <w:rsid w:val="008C6B9E"/>
    <w:rsid w:val="009C0867"/>
    <w:rsid w:val="00A6745B"/>
    <w:rsid w:val="00C46E04"/>
    <w:rsid w:val="00D77086"/>
    <w:rsid w:val="00DA0709"/>
    <w:rsid w:val="00E63501"/>
    <w:rsid w:val="00EC62ED"/>
    <w:rsid w:val="00EF6AA8"/>
    <w:rsid w:val="00F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AB94BB"/>
  <w15:chartTrackingRefBased/>
  <w15:docId w15:val="{33AEF2E2-70BE-48C2-BEF8-9283F47A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086"/>
  </w:style>
  <w:style w:type="paragraph" w:styleId="Pieddepage">
    <w:name w:val="footer"/>
    <w:basedOn w:val="Normal"/>
    <w:link w:val="PieddepageCar"/>
    <w:uiPriority w:val="99"/>
    <w:unhideWhenUsed/>
    <w:rsid w:val="00D7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1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Hanot</dc:creator>
  <cp:keywords/>
  <dc:description/>
  <cp:lastModifiedBy>Mélanie Hanot</cp:lastModifiedBy>
  <cp:revision>3</cp:revision>
  <cp:lastPrinted>2025-02-28T12:25:00Z</cp:lastPrinted>
  <dcterms:created xsi:type="dcterms:W3CDTF">2026-02-16T15:19:00Z</dcterms:created>
  <dcterms:modified xsi:type="dcterms:W3CDTF">2026-02-16T15:26:00Z</dcterms:modified>
</cp:coreProperties>
</file>